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C0D" w:rsidRDefault="009062DB">
      <w:pPr>
        <w:jc w:val="left"/>
        <w:rPr>
          <w:b w:val="0"/>
          <w:bCs/>
        </w:rPr>
      </w:pP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一、</w:t>
      </w:r>
      <w:bookmarkStart w:id="0" w:name="_GoBack"/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远程实时动态心电记录仪</w:t>
      </w:r>
      <w:bookmarkEnd w:id="0"/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技术参数：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1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、导联体系：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Mason-</w:t>
      </w:r>
      <w:proofErr w:type="spellStart"/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Likar</w:t>
      </w:r>
      <w:proofErr w:type="spellEnd"/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体系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2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、标准灵敏度：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10mm/mV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3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、耐极化电压：±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300mV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4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、内部噪声：≤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 xml:space="preserve">30 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μ</w:t>
      </w:r>
      <w:proofErr w:type="spellStart"/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Vpp</w:t>
      </w:r>
      <w:proofErr w:type="spellEnd"/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5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、输入阻抗：≥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5M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Ω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6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、输入回路电流：≤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 xml:space="preserve"> 0.1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μ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A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7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、共模信号抑制比：≥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89dB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8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、幅频特性：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0.05Hz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～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40Hz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（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-3.0dB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～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+0.4dB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）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9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、最小检测信号：≤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 xml:space="preserve">20 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μ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V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10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、数据传输方式：远程传输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GPRS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USB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11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、监测范围：移动信号覆盖</w:t>
      </w:r>
      <w:proofErr w:type="gramStart"/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范围以内</w:t>
      </w:r>
      <w:proofErr w:type="gramEnd"/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12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、设备存储介质和容量：≥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4GB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13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、起搏脉冲抑制功能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 xml:space="preserve">                                                                       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★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14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、实时数据记录内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容：≥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72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秒异常心电数据帧，包括自动或手动记录、定时记录数据（提供软件显示部分的截图证明）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 xml:space="preserve">                                                                           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★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15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、心电数据发送方式：预警自动发送、手动发送、定时发送、专家远程随访发送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 xml:space="preserve">                                                                      16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、液晶图像界面：彩色背景网格，等比例显示不少于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3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个导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联波形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17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、支持已记录心电图片段回顾浏览功能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★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18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、自适应分析预警性能指标：自适应调整分析阈值，无需人工设置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19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、报警功能：电池低电压报警、电极脱落报警、移动网络缺失报警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★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20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、黑匣子功能：循环记录监测设备重要操作日志，人工不可删除，保存医疗证据，避免</w:t>
      </w:r>
      <w:proofErr w:type="gramStart"/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医</w:t>
      </w:r>
      <w:proofErr w:type="gramEnd"/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患纠纷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二、动态心电网络平台监护中心软件技术参数：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1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、业务受理软件系统：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2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、远程心电分析软件系统：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3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、动态心电分析软件系统：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4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、心电监测数据的云存储：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★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5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、软件与硬件是同一品牌（提供注册证）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FDA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CE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、中国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NMPA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6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、</w:t>
      </w:r>
      <w:proofErr w:type="gramStart"/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监护站能够</w:t>
      </w:r>
      <w:proofErr w:type="gramEnd"/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通过网络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与监护中心连接，可以传输心电数据及长程分析报告。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  <w:t>AI-ECG Platform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t>心电软件分析系统参数</w:t>
      </w:r>
      <w:r>
        <w:rPr>
          <w:rFonts w:ascii="宋体" w:eastAsia="宋体" w:hAnsi="宋体" w:cs="宋体" w:hint="eastAsia"/>
          <w:b w:val="0"/>
          <w:bCs/>
          <w:color w:val="000000"/>
          <w:kern w:val="0"/>
          <w:sz w:val="24"/>
          <w:szCs w:val="24"/>
          <w:u w:val="none"/>
          <w:lang w:bidi="ar"/>
        </w:rPr>
        <w:br/>
      </w:r>
    </w:p>
    <w:sectPr w:rsidR="00AF0C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3595869"/>
    <w:rsid w:val="009062DB"/>
    <w:rsid w:val="00AF0C0D"/>
    <w:rsid w:val="33595869"/>
    <w:rsid w:val="4468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83B9E1"/>
  <w15:docId w15:val="{5568E96D-5846-4FFE-A22A-93138BA07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b/>
      <w:kern w:val="2"/>
      <w:sz w:val="36"/>
      <w:szCs w:val="3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A马玉:心电图，动态心电，监护仪</dc:creator>
  <cp:lastModifiedBy>Administrator</cp:lastModifiedBy>
  <cp:revision>2</cp:revision>
  <dcterms:created xsi:type="dcterms:W3CDTF">2020-10-12T02:33:00Z</dcterms:created>
  <dcterms:modified xsi:type="dcterms:W3CDTF">2020-12-23T08:19:00Z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