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招标参数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适用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科室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：内/外科，小儿科，急诊科、妇产科、门诊、专科、特殊护理中心、透析中心、牙医诊所等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成人、小儿和新生儿病人进行无创血压（NIBP）、脉搏氧饱和度（SpO2）、脉率（PR）的监测，对成人和小儿进行体温（TEMP）的监测，监测信息可以显示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bdr w:val="none" w:color="auto" w:sz="0" w:space="0"/>
          <w:shd w:val="clear" w:color="auto" w:fill="auto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bdr w:val="none" w:color="auto" w:sz="0" w:space="0"/>
          <w:shd w:val="clear" w:color="auto" w:fill="auto"/>
        </w:rPr>
        <w:t>体积小、屏幕大整机134mm×120mm×234mm，小巧含电池不足1.7KG，轻便高清大屏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bdr w:val="none" w:color="auto" w:sz="0" w:space="0"/>
          <w:shd w:val="clear" w:color="auto" w:fill="auto"/>
        </w:rPr>
        <w:t>≥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bdr w:val="none" w:color="auto" w:sz="0" w:space="0"/>
          <w:shd w:val="clear" w:color="auto" w:fill="auto"/>
          <w:lang w:val="en-US" w:eastAsia="zh-CN"/>
        </w:rPr>
        <w:t>5.7英寸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bdr w:val="none" w:color="auto" w:sz="0" w:space="0"/>
          <w:shd w:val="clear" w:color="auto" w:fill="auto"/>
        </w:rPr>
        <w:t>，信息一目了然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bdr w:val="none" w:color="auto" w:sz="0" w:space="0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bdr w:val="none" w:color="auto" w:sz="0" w:space="0"/>
          <w:shd w:val="clear" w:color="auto" w:fill="auto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bdr w:val="none" w:color="auto" w:sz="0" w:space="0"/>
          <w:shd w:val="clear" w:color="auto" w:fill="auto"/>
        </w:rPr>
        <w:t>先进的专利技术可显示PI血氧灌溉指数，反映血氧灌溉情况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bdr w:val="none" w:color="auto" w:sz="0" w:space="0"/>
          <w:shd w:val="clear" w:color="auto" w:fill="auto"/>
        </w:rPr>
        <w:t>采用专利的抗干扰和抗弱灌注血氧技术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bdr w:val="none" w:color="auto" w:sz="0" w:space="0"/>
          <w:shd w:val="clear" w:color="auto" w:fill="auto"/>
        </w:rPr>
        <w:t>血氧可选配全球领先的Nellcor技术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bdr w:val="none" w:color="auto" w:sz="0" w:space="0"/>
          <w:shd w:val="clear" w:color="auto" w:fill="auto"/>
        </w:rPr>
        <w:t>3. 便捷的体温测量技术（选配）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bdr w:val="none" w:color="auto" w:sz="0" w:space="0"/>
          <w:shd w:val="clear" w:color="auto" w:fill="auto"/>
        </w:rPr>
        <w:t>TEMP快速测量模式，≤12s轻松搞定体温测量，节省护士工作时间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bdr w:val="none" w:color="auto" w:sz="0" w:space="0"/>
          <w:shd w:val="clear" w:color="auto" w:fill="auto"/>
        </w:rPr>
        <w:t>提供包括口腔、腋下、直肠等多个位置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bdr w:val="none" w:color="auto" w:sz="0" w:space="0"/>
          <w:shd w:val="clear" w:color="auto" w:fill="auto"/>
        </w:rPr>
        <w:t>4. 超长的电池续航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bdr w:val="none" w:color="auto" w:sz="0" w:space="0"/>
          <w:shd w:val="clear" w:color="auto" w:fill="auto"/>
        </w:rPr>
        <w:t>标配锂电池，续航时间≥11小时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C4948"/>
          <w:spacing w:val="0"/>
          <w:sz w:val="28"/>
          <w:szCs w:val="28"/>
          <w:bdr w:val="none" w:color="auto" w:sz="0" w:space="0"/>
          <w:shd w:val="clear" w:color="auto" w:fill="auto"/>
        </w:rPr>
        <w:t>选配高能锂电池，续航时间≥22小时</w:t>
      </w:r>
      <w:bookmarkStart w:id="0" w:name="_GoBack"/>
      <w:bookmarkEnd w:id="0"/>
    </w:p>
    <w:p>
      <w:pPr>
        <w:numPr>
          <w:numId w:val="0"/>
        </w:numP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A0BF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DQRMYY</dc:creator>
  <cp:lastModifiedBy>DQRMYY</cp:lastModifiedBy>
  <dcterms:modified xsi:type="dcterms:W3CDTF">2020-12-23T06:19:58Z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